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2A3" w:rsidRPr="00222DC8" w:rsidRDefault="007B4553">
      <w:pPr>
        <w:pStyle w:val="Ttulo"/>
        <w:jc w:val="center"/>
        <w:rPr>
          <w:rFonts w:ascii="Baskerville SemiBold" w:eastAsia="Baskerville SemiBold" w:hAnsi="Baskerville SemiBold" w:cs="Baskerville SemiBold"/>
          <w:sz w:val="36"/>
          <w:szCs w:val="36"/>
          <w:lang w:val="pt-BR"/>
        </w:rPr>
      </w:pPr>
      <w:bookmarkStart w:id="0" w:name="_GoBack"/>
      <w:bookmarkEnd w:id="0"/>
      <w:r w:rsidRPr="00222DC8">
        <w:rPr>
          <w:rFonts w:ascii="Baskerville SemiBold" w:hAnsi="Baskerville SemiBold"/>
          <w:sz w:val="36"/>
          <w:szCs w:val="36"/>
          <w:lang w:val="pt-BR"/>
        </w:rPr>
        <w:t>Associação Catarinense de Assistentes Sociais do Poder Judiciário</w:t>
      </w:r>
    </w:p>
    <w:p w:rsidR="006302A3" w:rsidRPr="00222DC8" w:rsidRDefault="006302A3">
      <w:pPr>
        <w:pStyle w:val="Ttulo"/>
        <w:rPr>
          <w:rFonts w:hint="eastAsia"/>
          <w:lang w:val="pt-BR"/>
        </w:rPr>
      </w:pPr>
    </w:p>
    <w:p w:rsidR="006302A3" w:rsidRPr="00222DC8" w:rsidRDefault="006302A3">
      <w:pPr>
        <w:pStyle w:val="Ttulo"/>
        <w:rPr>
          <w:rFonts w:hint="eastAsia"/>
          <w:lang w:val="pt-BR"/>
        </w:rPr>
      </w:pPr>
    </w:p>
    <w:p w:rsidR="006302A3" w:rsidRPr="00222DC8" w:rsidRDefault="007B4553">
      <w:pPr>
        <w:pStyle w:val="Subttulo"/>
        <w:rPr>
          <w:rFonts w:hint="eastAsia"/>
          <w:lang w:val="pt-BR"/>
        </w:rPr>
      </w:pPr>
      <w:r w:rsidRPr="00222DC8">
        <w:rPr>
          <w:lang w:val="pt-BR"/>
        </w:rPr>
        <w:t>MOÇÃO</w:t>
      </w:r>
    </w:p>
    <w:p w:rsidR="006302A3" w:rsidRDefault="006302A3">
      <w:pPr>
        <w:pStyle w:val="Corpo"/>
      </w:pPr>
    </w:p>
    <w:p w:rsidR="006302A3" w:rsidRDefault="007B4553">
      <w:pPr>
        <w:pStyle w:val="Corpo"/>
        <w:jc w:val="both"/>
        <w:rPr>
          <w:sz w:val="28"/>
          <w:szCs w:val="28"/>
        </w:rPr>
      </w:pPr>
      <w:r w:rsidRPr="00222DC8">
        <w:rPr>
          <w:sz w:val="28"/>
          <w:szCs w:val="28"/>
        </w:rPr>
        <w:t>Nós, a Associação Catarinense de Assistentes Sociai</w:t>
      </w:r>
      <w:r w:rsidR="00222DC8">
        <w:rPr>
          <w:sz w:val="28"/>
          <w:szCs w:val="28"/>
        </w:rPr>
        <w:t>s do Poder Judiciário (ACASPJ) e os demais presentes no 14</w:t>
      </w:r>
      <w:r w:rsidRPr="00222DC8">
        <w:rPr>
          <w:sz w:val="28"/>
          <w:szCs w:val="28"/>
        </w:rPr>
        <w:t>º Encontro Estadual de Grupos de Estudo e Apoio à Adoção e Fórum Estadual de Juízes, Promotores de Justiça, Defensores Públicos e Técnicos do Poder Judiciário e do Ministério Público de Santa Catarina, r</w:t>
      </w:r>
      <w:r w:rsidR="00222DC8">
        <w:rPr>
          <w:sz w:val="28"/>
          <w:szCs w:val="28"/>
        </w:rPr>
        <w:t>eunidos neste evento nos dias 21 e 22 de setembro de 2017</w:t>
      </w:r>
      <w:r w:rsidRPr="00222DC8">
        <w:rPr>
          <w:sz w:val="28"/>
          <w:szCs w:val="28"/>
        </w:rPr>
        <w:t>, manifestamo-nos pela supressão do item B do art. 2º, II, da nova redação da Lei Complementar n. 188, de 30 de dezembro de 1999, dada pelo Projeto de Lei Complementar 0014/2016, em tramitação na Assembleia Legislativa:</w:t>
      </w:r>
    </w:p>
    <w:p w:rsidR="006302A3" w:rsidRDefault="007B4553">
      <w:pPr>
        <w:pStyle w:val="Corpo"/>
        <w:jc w:val="both"/>
        <w:rPr>
          <w:sz w:val="28"/>
          <w:szCs w:val="28"/>
        </w:rPr>
      </w:pPr>
      <w:r w:rsidRPr="00222DC8">
        <w:rPr>
          <w:sz w:val="28"/>
          <w:szCs w:val="28"/>
        </w:rPr>
        <w:t>“</w:t>
      </w:r>
      <w:proofErr w:type="gramStart"/>
      <w:r w:rsidRPr="00222DC8">
        <w:rPr>
          <w:sz w:val="28"/>
          <w:szCs w:val="28"/>
        </w:rPr>
        <w:t>b)</w:t>
      </w:r>
      <w:proofErr w:type="gramEnd"/>
      <w:r w:rsidRPr="00222DC8">
        <w:rPr>
          <w:sz w:val="28"/>
          <w:szCs w:val="28"/>
        </w:rPr>
        <w:t xml:space="preserve"> remuneração de assistentes sociais e psicólogos que atuarem, mediante convênio, credenciamento ou designação judicial, em ações que envolvam direito de família, infância e juventude, violência doméstica (Lei n. 11.340, de 7 de agosto de 2006) e idoso (Lei n. 10.741, de 1º de outubro de 2003);”</w:t>
      </w:r>
    </w:p>
    <w:p w:rsidR="0073355F" w:rsidRDefault="007B4553">
      <w:pPr>
        <w:pStyle w:val="Corpo"/>
        <w:jc w:val="both"/>
        <w:rPr>
          <w:sz w:val="28"/>
          <w:szCs w:val="28"/>
        </w:rPr>
      </w:pPr>
      <w:r w:rsidRPr="00222DC8">
        <w:rPr>
          <w:sz w:val="28"/>
          <w:szCs w:val="28"/>
        </w:rPr>
        <w:t xml:space="preserve">Entendemos que a disposição </w:t>
      </w:r>
      <w:proofErr w:type="gramStart"/>
      <w:r w:rsidRPr="00222DC8">
        <w:rPr>
          <w:i/>
          <w:iCs/>
          <w:sz w:val="28"/>
          <w:szCs w:val="28"/>
        </w:rPr>
        <w:t>supra</w:t>
      </w:r>
      <w:r w:rsidRPr="00222DC8">
        <w:rPr>
          <w:sz w:val="28"/>
          <w:szCs w:val="28"/>
        </w:rPr>
        <w:t xml:space="preserve"> constitui</w:t>
      </w:r>
      <w:proofErr w:type="gramEnd"/>
      <w:r w:rsidRPr="00222DC8">
        <w:rPr>
          <w:sz w:val="28"/>
          <w:szCs w:val="28"/>
        </w:rPr>
        <w:t xml:space="preserve"> um absoluto retrocesso ao Sistema de Garantia de Direitos no Estado de Santa Catarina, pois prevê a terceirização dos serviços prestados por assistentes sociais e psicólogos no âmbito do Poder Judiciário catarinense, implicando na precarização da prestação jurisdicional aos usuários do Sistema de Justiça, mormente aqueles que necessitam de especial proteção social pela tutela do Estado (crianças, adolescentes, famílias em situação de </w:t>
      </w:r>
      <w:r w:rsidR="00222DC8">
        <w:rPr>
          <w:sz w:val="28"/>
          <w:szCs w:val="28"/>
        </w:rPr>
        <w:t>desproteção</w:t>
      </w:r>
      <w:r w:rsidRPr="00222DC8">
        <w:rPr>
          <w:sz w:val="28"/>
          <w:szCs w:val="28"/>
        </w:rPr>
        <w:t xml:space="preserve"> social, mulheres vítimas de violência doméstica</w:t>
      </w:r>
      <w:r w:rsidR="00222DC8">
        <w:rPr>
          <w:sz w:val="28"/>
          <w:szCs w:val="28"/>
        </w:rPr>
        <w:t>, pessoas com deficiência</w:t>
      </w:r>
      <w:r w:rsidRPr="00222DC8">
        <w:rPr>
          <w:sz w:val="28"/>
          <w:szCs w:val="28"/>
        </w:rPr>
        <w:t xml:space="preserve"> e idosos).</w:t>
      </w:r>
      <w:r w:rsidR="00222DC8">
        <w:rPr>
          <w:sz w:val="28"/>
          <w:szCs w:val="28"/>
        </w:rPr>
        <w:t xml:space="preserve"> </w:t>
      </w:r>
    </w:p>
    <w:p w:rsidR="006302A3" w:rsidRDefault="0073355F">
      <w:pPr>
        <w:pStyle w:val="Corpo"/>
        <w:jc w:val="both"/>
        <w:rPr>
          <w:sz w:val="28"/>
          <w:szCs w:val="28"/>
        </w:rPr>
      </w:pPr>
      <w:r>
        <w:rPr>
          <w:sz w:val="28"/>
          <w:szCs w:val="28"/>
        </w:rPr>
        <w:t>A presente moção r</w:t>
      </w:r>
      <w:r w:rsidR="004F6828">
        <w:rPr>
          <w:sz w:val="28"/>
          <w:szCs w:val="28"/>
        </w:rPr>
        <w:t xml:space="preserve">eitera manifestação anterior das </w:t>
      </w:r>
      <w:r>
        <w:rPr>
          <w:sz w:val="28"/>
          <w:szCs w:val="28"/>
        </w:rPr>
        <w:t>categoria</w:t>
      </w:r>
      <w:r w:rsidR="004F6828">
        <w:rPr>
          <w:sz w:val="28"/>
          <w:szCs w:val="28"/>
        </w:rPr>
        <w:t>s dos assistentes sociais e dos psicólogos</w:t>
      </w:r>
      <w:r>
        <w:rPr>
          <w:sz w:val="28"/>
          <w:szCs w:val="28"/>
        </w:rPr>
        <w:t xml:space="preserve"> apresentada</w:t>
      </w:r>
      <w:r w:rsidR="004F6828">
        <w:rPr>
          <w:sz w:val="28"/>
          <w:szCs w:val="28"/>
        </w:rPr>
        <w:t xml:space="preserve"> a este Tribunal de Justiça em 2016, bem como, referenda </w:t>
      </w:r>
      <w:r w:rsidR="00222DC8">
        <w:rPr>
          <w:sz w:val="28"/>
          <w:szCs w:val="28"/>
        </w:rPr>
        <w:t xml:space="preserve">o Ofício n. 377/2017, da lavra da Defensoria </w:t>
      </w:r>
      <w:r w:rsidR="00222DC8">
        <w:rPr>
          <w:sz w:val="28"/>
          <w:szCs w:val="28"/>
        </w:rPr>
        <w:lastRenderedPageBreak/>
        <w:t>Pública do Estad</w:t>
      </w:r>
      <w:r w:rsidR="004F6828">
        <w:rPr>
          <w:sz w:val="28"/>
          <w:szCs w:val="28"/>
        </w:rPr>
        <w:t>o de Santa Catarina, entregue</w:t>
      </w:r>
      <w:r w:rsidR="00222DC8">
        <w:rPr>
          <w:sz w:val="28"/>
          <w:szCs w:val="28"/>
        </w:rPr>
        <w:t xml:space="preserve"> à Assembleia Legislativa em </w:t>
      </w:r>
      <w:r w:rsidR="000663D8">
        <w:rPr>
          <w:sz w:val="28"/>
          <w:szCs w:val="28"/>
        </w:rPr>
        <w:t>0</w:t>
      </w:r>
      <w:r w:rsidR="00222DC8">
        <w:rPr>
          <w:sz w:val="28"/>
          <w:szCs w:val="28"/>
        </w:rPr>
        <w:t>6 de setembro do corrente ano.</w:t>
      </w:r>
    </w:p>
    <w:p w:rsidR="006302A3" w:rsidRDefault="007B4553">
      <w:pPr>
        <w:pStyle w:val="Corpo"/>
        <w:jc w:val="both"/>
        <w:rPr>
          <w:sz w:val="28"/>
          <w:szCs w:val="28"/>
        </w:rPr>
      </w:pPr>
      <w:r w:rsidRPr="00222DC8">
        <w:rPr>
          <w:sz w:val="28"/>
          <w:szCs w:val="28"/>
        </w:rPr>
        <w:t xml:space="preserve">Salientamos que o art. 227 da Constituição Federal de 1988 institui a prioridade absoluta de crianças e adolescentes em todos os direitos e esferas da vida social. No mesmo diapasão, o Estatuto da Criança e do Adolescente, em seu art. 4º, parágrafo único, d, estipula que “a garantia de prioridade compreende: […] destinação privilegiada de recursos públicos nas áreas relacionadas com a proteção à infância e a juventude”. Assim, prevê o Estatuto, nos art. 150 e 151, que o Poder Judiciário deverá, mediante previsão orçamentária, manter em seus quadros equipe interdisciplinar </w:t>
      </w:r>
      <w:proofErr w:type="gramStart"/>
      <w:r w:rsidRPr="00222DC8">
        <w:rPr>
          <w:sz w:val="28"/>
          <w:szCs w:val="28"/>
        </w:rPr>
        <w:t>sob imediata</w:t>
      </w:r>
      <w:proofErr w:type="gramEnd"/>
      <w:r w:rsidRPr="00222DC8">
        <w:rPr>
          <w:sz w:val="28"/>
          <w:szCs w:val="28"/>
        </w:rPr>
        <w:t xml:space="preserve"> subordinação à autoridade judiciária. O mesmo diploma legal estabelece a intervenção destas equipes nos processos de habilitação à adoção e adoção, e na ouvida de crianças e adolescentes nestas e demais ações judiciais que impliquem na sua colocação em família substituta. Destarte, compreendemos que o referido dispositivo do PLC 0014/2016 é inconstitucional, pois fere a absoluta prioridade de crianças e adolescentes na dotação orçamentária dos entes públicos, inclusive o Poder Judiciário. </w:t>
      </w:r>
      <w:proofErr w:type="gramStart"/>
      <w:r w:rsidRPr="00222DC8">
        <w:rPr>
          <w:sz w:val="28"/>
          <w:szCs w:val="28"/>
        </w:rPr>
        <w:t>Outrossim</w:t>
      </w:r>
      <w:proofErr w:type="gramEnd"/>
      <w:r w:rsidRPr="00222DC8">
        <w:rPr>
          <w:sz w:val="28"/>
          <w:szCs w:val="28"/>
        </w:rPr>
        <w:t>, há todo um rol de diplomas legais que preveem a existência de equipes interdisciplinares nos quadros do Poder Judiciário.</w:t>
      </w:r>
    </w:p>
    <w:p w:rsidR="006302A3" w:rsidRDefault="007B4553">
      <w:pPr>
        <w:pStyle w:val="Corpo"/>
        <w:jc w:val="both"/>
        <w:rPr>
          <w:sz w:val="28"/>
          <w:szCs w:val="28"/>
        </w:rPr>
      </w:pPr>
      <w:r w:rsidRPr="00222DC8">
        <w:rPr>
          <w:sz w:val="28"/>
          <w:szCs w:val="28"/>
        </w:rPr>
        <w:t xml:space="preserve">Nesta senda, a Lei n. 11.340 (Lei Maria da Penha), de </w:t>
      </w:r>
      <w:proofErr w:type="gramStart"/>
      <w:r w:rsidRPr="00222DC8">
        <w:rPr>
          <w:sz w:val="28"/>
          <w:szCs w:val="28"/>
        </w:rPr>
        <w:t>7</w:t>
      </w:r>
      <w:proofErr w:type="gramEnd"/>
      <w:r w:rsidRPr="00222DC8">
        <w:rPr>
          <w:sz w:val="28"/>
          <w:szCs w:val="28"/>
        </w:rPr>
        <w:t xml:space="preserve"> de agosto de 2006, indica em seu art. 32, que “o Poder Judiciário, na elaboração da sua proposta orçamentária, poderá prever recursos </w:t>
      </w:r>
      <w:r>
        <w:rPr>
          <w:sz w:val="28"/>
          <w:szCs w:val="28"/>
          <w:lang w:val="pt-PT"/>
        </w:rPr>
        <w:t>para a criação e manutenção da equipe de atendimento multidisciplinar, nos termos da Lei de Diretrizes Orç</w:t>
      </w:r>
      <w:r>
        <w:rPr>
          <w:sz w:val="28"/>
          <w:szCs w:val="28"/>
          <w:lang w:val="it-IT"/>
        </w:rPr>
        <w:t>ament</w:t>
      </w:r>
      <w:r>
        <w:rPr>
          <w:sz w:val="28"/>
          <w:szCs w:val="28"/>
        </w:rPr>
        <w:t>á</w:t>
      </w:r>
      <w:r>
        <w:rPr>
          <w:sz w:val="28"/>
          <w:szCs w:val="28"/>
          <w:lang w:val="pt-PT"/>
        </w:rPr>
        <w:t>rias</w:t>
      </w:r>
      <w:r w:rsidRPr="00222DC8">
        <w:rPr>
          <w:sz w:val="28"/>
          <w:szCs w:val="28"/>
        </w:rPr>
        <w:t>”.</w:t>
      </w:r>
    </w:p>
    <w:p w:rsidR="006302A3" w:rsidRDefault="007B4553">
      <w:pPr>
        <w:pStyle w:val="Corpo"/>
        <w:jc w:val="both"/>
        <w:rPr>
          <w:sz w:val="28"/>
          <w:szCs w:val="28"/>
        </w:rPr>
      </w:pPr>
      <w:r w:rsidRPr="00222DC8">
        <w:rPr>
          <w:sz w:val="28"/>
          <w:szCs w:val="28"/>
        </w:rPr>
        <w:t>A Recomendação n. 33, de 23 de novembro de 2010, do Conselho Nacional de Justiça, aponta no item IV, a existência dos “serviços técnicos do sistema de justiça”, os quais “</w:t>
      </w:r>
      <w:r>
        <w:rPr>
          <w:sz w:val="28"/>
          <w:szCs w:val="28"/>
          <w:lang w:val="pt-PT"/>
        </w:rPr>
        <w:t>devem estar aptos a promover o apoio, orientação e encaminhamento de assist</w:t>
      </w:r>
      <w:r>
        <w:rPr>
          <w:sz w:val="28"/>
          <w:szCs w:val="28"/>
          <w:lang w:val="fr-FR"/>
        </w:rPr>
        <w:t>ê</w:t>
      </w:r>
      <w:proofErr w:type="spellStart"/>
      <w:r>
        <w:rPr>
          <w:sz w:val="28"/>
          <w:szCs w:val="28"/>
          <w:lang w:val="es-ES_tradnl"/>
        </w:rPr>
        <w:t>ncia</w:t>
      </w:r>
      <w:proofErr w:type="spellEnd"/>
      <w:r>
        <w:rPr>
          <w:sz w:val="28"/>
          <w:szCs w:val="28"/>
          <w:lang w:val="es-ES_tradnl"/>
        </w:rPr>
        <w:t xml:space="preserve"> </w:t>
      </w:r>
      <w:r>
        <w:rPr>
          <w:sz w:val="28"/>
          <w:szCs w:val="28"/>
          <w:lang w:val="fr-FR"/>
        </w:rPr>
        <w:t xml:space="preserve">à </w:t>
      </w:r>
      <w:r>
        <w:rPr>
          <w:sz w:val="28"/>
          <w:szCs w:val="28"/>
        </w:rPr>
        <w:t xml:space="preserve">saúde </w:t>
      </w:r>
      <w:proofErr w:type="spellStart"/>
      <w:r>
        <w:rPr>
          <w:sz w:val="28"/>
          <w:szCs w:val="28"/>
        </w:rPr>
        <w:t>fí</w:t>
      </w:r>
      <w:proofErr w:type="spellEnd"/>
      <w:r>
        <w:rPr>
          <w:sz w:val="28"/>
          <w:szCs w:val="28"/>
          <w:lang w:val="pt-PT"/>
        </w:rPr>
        <w:t>sica e emocional da v</w:t>
      </w:r>
      <w:r>
        <w:rPr>
          <w:sz w:val="28"/>
          <w:szCs w:val="28"/>
        </w:rPr>
        <w:t>í</w:t>
      </w:r>
      <w:r>
        <w:rPr>
          <w:sz w:val="28"/>
          <w:szCs w:val="28"/>
          <w:lang w:val="pt-PT"/>
        </w:rPr>
        <w:t>tima ou testemunha e seus familiares, quando necess</w:t>
      </w:r>
      <w:r>
        <w:rPr>
          <w:sz w:val="28"/>
          <w:szCs w:val="28"/>
        </w:rPr>
        <w:t>á</w:t>
      </w:r>
      <w:r>
        <w:rPr>
          <w:sz w:val="28"/>
          <w:szCs w:val="28"/>
          <w:lang w:val="pt-PT"/>
        </w:rPr>
        <w:t>rios, durante e ap</w:t>
      </w:r>
      <w:proofErr w:type="spellStart"/>
      <w:r>
        <w:rPr>
          <w:sz w:val="28"/>
          <w:szCs w:val="28"/>
          <w:lang w:val="es-ES_tradnl"/>
        </w:rPr>
        <w:t>ó</w:t>
      </w:r>
      <w:proofErr w:type="spellEnd"/>
      <w:r>
        <w:rPr>
          <w:sz w:val="28"/>
          <w:szCs w:val="28"/>
          <w:lang w:val="pt-PT"/>
        </w:rPr>
        <w:t>s o procedimento judicial</w:t>
      </w:r>
      <w:r w:rsidRPr="00222DC8">
        <w:rPr>
          <w:sz w:val="28"/>
          <w:szCs w:val="28"/>
        </w:rPr>
        <w:t>”.</w:t>
      </w:r>
    </w:p>
    <w:p w:rsidR="006302A3" w:rsidRDefault="007B4553">
      <w:pPr>
        <w:pStyle w:val="Corpo"/>
        <w:jc w:val="both"/>
        <w:rPr>
          <w:sz w:val="28"/>
          <w:szCs w:val="28"/>
        </w:rPr>
      </w:pPr>
      <w:r w:rsidRPr="00222DC8">
        <w:rPr>
          <w:sz w:val="28"/>
          <w:szCs w:val="28"/>
        </w:rPr>
        <w:lastRenderedPageBreak/>
        <w:t xml:space="preserve">O Provimento n. 32, de 24 de junho de 2013, do Conselho Nacional </w:t>
      </w:r>
      <w:r w:rsidR="0073355F">
        <w:rPr>
          <w:sz w:val="28"/>
          <w:szCs w:val="28"/>
        </w:rPr>
        <w:t xml:space="preserve">de Justiça, elenca no art. 1º, </w:t>
      </w:r>
      <w:r w:rsidRPr="00222DC8">
        <w:rPr>
          <w:sz w:val="28"/>
          <w:szCs w:val="28"/>
        </w:rPr>
        <w:t>§ 2º, IV, a, dentre os órgãos participantes das audiências concentradas (de realização obrigatória), a “equipe interdisciplinar atuante perante a vara da infância e juventude”.</w:t>
      </w:r>
    </w:p>
    <w:p w:rsidR="006302A3" w:rsidRDefault="007B4553">
      <w:pPr>
        <w:pStyle w:val="Corpo"/>
        <w:jc w:val="both"/>
        <w:rPr>
          <w:sz w:val="28"/>
          <w:szCs w:val="28"/>
        </w:rPr>
      </w:pPr>
      <w:r w:rsidRPr="00222DC8">
        <w:rPr>
          <w:sz w:val="28"/>
          <w:szCs w:val="28"/>
        </w:rPr>
        <w:t xml:space="preserve">O Provimento n. 36, de 24 de abril de 2014, do Conselho Nacional de Justiça (Corregedoria </w:t>
      </w:r>
      <w:r w:rsidR="000663D8">
        <w:rPr>
          <w:sz w:val="28"/>
          <w:szCs w:val="28"/>
        </w:rPr>
        <w:t>N</w:t>
      </w:r>
      <w:r w:rsidRPr="00222DC8">
        <w:rPr>
          <w:sz w:val="28"/>
          <w:szCs w:val="28"/>
        </w:rPr>
        <w:t xml:space="preserve">acional de Justiça), determina no art. 1º, III e IV, a estruturação de </w:t>
      </w:r>
      <w:proofErr w:type="gramStart"/>
      <w:r w:rsidRPr="00222DC8">
        <w:rPr>
          <w:sz w:val="28"/>
          <w:szCs w:val="28"/>
        </w:rPr>
        <w:t>“equipes multidisciplinares (compostas de, ao menos, psicólogo, pedagogo e assistente social) em todas as varas de competência da infância e juventude.</w:t>
      </w:r>
      <w:proofErr w:type="gramEnd"/>
    </w:p>
    <w:p w:rsidR="006302A3" w:rsidRDefault="007B4553">
      <w:pPr>
        <w:pStyle w:val="Corpo"/>
        <w:jc w:val="both"/>
        <w:rPr>
          <w:sz w:val="28"/>
          <w:szCs w:val="28"/>
        </w:rPr>
      </w:pPr>
      <w:r w:rsidRPr="00222DC8">
        <w:rPr>
          <w:sz w:val="28"/>
          <w:szCs w:val="28"/>
        </w:rPr>
        <w:t>O Código de Normas da Corregedoria-Geral da Justiça do Estado de Santa Catarina prevê no art. 400, IV, o “estudo psicossocial elaborado pela equipe do judiciário”, no rol de documentos a</w:t>
      </w:r>
      <w:r w:rsidR="000663D8">
        <w:rPr>
          <w:sz w:val="28"/>
          <w:szCs w:val="28"/>
        </w:rPr>
        <w:t xml:space="preserve"> ser enviado pelo juiz à CEJA</w:t>
      </w:r>
      <w:r w:rsidRPr="00222DC8">
        <w:rPr>
          <w:sz w:val="28"/>
          <w:szCs w:val="28"/>
        </w:rPr>
        <w:t xml:space="preserve"> nos casos de adoção internacional.</w:t>
      </w:r>
    </w:p>
    <w:p w:rsidR="006302A3" w:rsidRDefault="007B4553">
      <w:pPr>
        <w:pStyle w:val="Corpo"/>
        <w:jc w:val="both"/>
        <w:rPr>
          <w:sz w:val="28"/>
          <w:szCs w:val="28"/>
        </w:rPr>
      </w:pPr>
      <w:r w:rsidRPr="00222DC8">
        <w:rPr>
          <w:sz w:val="28"/>
          <w:szCs w:val="28"/>
        </w:rPr>
        <w:t>Por fim, o rol de competências dos cargos de assistente social e psicólogo do Poder Judiciário de Santa Catarina, reconhecido após mapeamento de competências realizado no âmbito do planejamento estratégico vigente (2015-2020), deixa claro que as demandas atendidas por ambas as categorias requerem, por sua própria natureza, o atendimento por profissionais componentes do quadro efetivo de servidores públicos do Tribunal de Justiça catarinense.</w:t>
      </w:r>
    </w:p>
    <w:p w:rsidR="006302A3" w:rsidRDefault="006302A3">
      <w:pPr>
        <w:pStyle w:val="Corpo"/>
        <w:jc w:val="both"/>
        <w:rPr>
          <w:sz w:val="28"/>
          <w:szCs w:val="28"/>
        </w:rPr>
      </w:pPr>
    </w:p>
    <w:p w:rsidR="006302A3" w:rsidRDefault="0073355F">
      <w:pPr>
        <w:pStyle w:val="Corpo"/>
        <w:jc w:val="right"/>
      </w:pPr>
      <w:r>
        <w:rPr>
          <w:sz w:val="28"/>
          <w:szCs w:val="28"/>
        </w:rPr>
        <w:t>Blumenau, 21 de setembro de 2017</w:t>
      </w:r>
      <w:r w:rsidR="007B4553" w:rsidRPr="00222DC8">
        <w:rPr>
          <w:sz w:val="28"/>
          <w:szCs w:val="28"/>
        </w:rPr>
        <w:t>.</w:t>
      </w:r>
      <w:r w:rsidR="007B4553">
        <w:rPr>
          <w:rFonts w:ascii="Arial Unicode MS" w:eastAsia="Arial Unicode MS" w:hAnsi="Arial Unicode MS" w:cs="Arial Unicode MS"/>
          <w:sz w:val="28"/>
          <w:szCs w:val="28"/>
        </w:rPr>
        <w:br w:type="page"/>
      </w:r>
    </w:p>
    <w:p w:rsidR="004F6828" w:rsidRDefault="004F6828">
      <w:pPr>
        <w:pStyle w:val="Ttulo"/>
        <w:jc w:val="center"/>
        <w:rPr>
          <w:rFonts w:ascii="Baskerville SemiBold" w:hAnsi="Baskerville SemiBold" w:hint="eastAsia"/>
          <w:sz w:val="36"/>
          <w:szCs w:val="36"/>
          <w:lang w:val="pt-BR"/>
        </w:rPr>
        <w:sectPr w:rsidR="004F6828">
          <w:headerReference w:type="default" r:id="rId7"/>
          <w:footerReference w:type="default" r:id="rId8"/>
          <w:pgSz w:w="11900" w:h="16840"/>
          <w:pgMar w:top="1440" w:right="1440" w:bottom="1440" w:left="1440" w:header="720" w:footer="720" w:gutter="0"/>
          <w:cols w:space="720"/>
        </w:sectPr>
      </w:pPr>
    </w:p>
    <w:p w:rsidR="006302A3" w:rsidRPr="00222DC8" w:rsidRDefault="007B4553">
      <w:pPr>
        <w:pStyle w:val="Ttulo"/>
        <w:jc w:val="center"/>
        <w:rPr>
          <w:rFonts w:ascii="Baskerville SemiBold" w:eastAsia="Baskerville SemiBold" w:hAnsi="Baskerville SemiBold" w:cs="Baskerville SemiBold"/>
          <w:sz w:val="36"/>
          <w:szCs w:val="36"/>
          <w:lang w:val="pt-BR"/>
        </w:rPr>
      </w:pPr>
      <w:r w:rsidRPr="00222DC8">
        <w:rPr>
          <w:rFonts w:ascii="Baskerville SemiBold" w:hAnsi="Baskerville SemiBold"/>
          <w:sz w:val="36"/>
          <w:szCs w:val="36"/>
          <w:lang w:val="pt-BR"/>
        </w:rPr>
        <w:lastRenderedPageBreak/>
        <w:t>Associação Catarinense de Assistentes Sociais do Poder Judiciá</w:t>
      </w:r>
      <w:r w:rsidR="00BD68E6">
        <w:rPr>
          <w:rFonts w:ascii="Baskerville SemiBold" w:hAnsi="Baskerville SemiBold"/>
          <w:sz w:val="36"/>
          <w:szCs w:val="36"/>
          <w:lang w:val="pt-BR"/>
        </w:rPr>
        <w:t>rio</w:t>
      </w:r>
    </w:p>
    <w:p w:rsidR="006302A3" w:rsidRPr="00222DC8" w:rsidRDefault="006302A3">
      <w:pPr>
        <w:pStyle w:val="Ttulo"/>
        <w:rPr>
          <w:rFonts w:hint="eastAsia"/>
          <w:lang w:val="pt-BR"/>
        </w:rPr>
      </w:pPr>
    </w:p>
    <w:p w:rsidR="006302A3" w:rsidRPr="00222DC8" w:rsidRDefault="006302A3">
      <w:pPr>
        <w:pStyle w:val="Ttulo"/>
        <w:rPr>
          <w:rFonts w:hint="eastAsia"/>
          <w:lang w:val="pt-BR"/>
        </w:rPr>
      </w:pPr>
    </w:p>
    <w:p w:rsidR="006302A3" w:rsidRDefault="007B4553">
      <w:pPr>
        <w:pStyle w:val="Subttulo"/>
        <w:rPr>
          <w:rFonts w:hint="eastAsia"/>
        </w:rPr>
      </w:pPr>
      <w:r>
        <w:t>MOÇÃO</w:t>
      </w:r>
    </w:p>
    <w:p w:rsidR="006302A3" w:rsidRDefault="006302A3">
      <w:pPr>
        <w:pStyle w:val="Corpo"/>
      </w:pPr>
    </w:p>
    <w:tbl>
      <w:tblPr>
        <w:tblStyle w:val="TableNormal"/>
        <w:tblW w:w="14316" w:type="dxa"/>
        <w:jc w:val="center"/>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811"/>
        <w:gridCol w:w="2501"/>
        <w:gridCol w:w="2668"/>
        <w:gridCol w:w="2668"/>
        <w:gridCol w:w="2668"/>
      </w:tblGrid>
      <w:tr w:rsidR="00CB7106" w:rsidRPr="00CB7106" w:rsidTr="00CB7106">
        <w:trPr>
          <w:trHeight w:val="280"/>
          <w:tblHeader/>
          <w:jc w:val="center"/>
        </w:trPr>
        <w:tc>
          <w:tcPr>
            <w:tcW w:w="3811" w:type="dxa"/>
            <w:shd w:val="clear" w:color="auto" w:fill="auto"/>
            <w:tcMar>
              <w:top w:w="80" w:type="dxa"/>
              <w:left w:w="80" w:type="dxa"/>
              <w:bottom w:w="80" w:type="dxa"/>
              <w:right w:w="80" w:type="dxa"/>
            </w:tcMar>
          </w:tcPr>
          <w:p w:rsidR="00CB7106" w:rsidRPr="00CB7106" w:rsidRDefault="00CB7106">
            <w:pPr>
              <w:pStyle w:val="EstilodeTabela4"/>
              <w:jc w:val="center"/>
              <w:rPr>
                <w:b/>
                <w:sz w:val="28"/>
              </w:rPr>
            </w:pPr>
            <w:r w:rsidRPr="00CB7106">
              <w:rPr>
                <w:b/>
                <w:sz w:val="28"/>
              </w:rPr>
              <w:t>Nome</w:t>
            </w:r>
          </w:p>
        </w:tc>
        <w:tc>
          <w:tcPr>
            <w:tcW w:w="2501" w:type="dxa"/>
            <w:shd w:val="clear" w:color="auto" w:fill="auto"/>
            <w:tcMar>
              <w:top w:w="80" w:type="dxa"/>
              <w:left w:w="80" w:type="dxa"/>
              <w:bottom w:w="80" w:type="dxa"/>
              <w:right w:w="80" w:type="dxa"/>
            </w:tcMar>
          </w:tcPr>
          <w:p w:rsidR="00CB7106" w:rsidRPr="00CB7106" w:rsidRDefault="00CB7106">
            <w:pPr>
              <w:pStyle w:val="EstilodeTabela4"/>
              <w:jc w:val="center"/>
              <w:rPr>
                <w:b/>
                <w:sz w:val="28"/>
              </w:rPr>
            </w:pPr>
            <w:r w:rsidRPr="00CB7106">
              <w:rPr>
                <w:b/>
                <w:sz w:val="28"/>
              </w:rPr>
              <w:t>Documento</w:t>
            </w:r>
          </w:p>
        </w:tc>
        <w:tc>
          <w:tcPr>
            <w:tcW w:w="2668" w:type="dxa"/>
          </w:tcPr>
          <w:p w:rsidR="00CB7106" w:rsidRPr="00CB7106" w:rsidRDefault="00CB7106">
            <w:pPr>
              <w:pStyle w:val="EstilodeTabela4"/>
              <w:jc w:val="center"/>
              <w:rPr>
                <w:b/>
                <w:sz w:val="28"/>
              </w:rPr>
            </w:pPr>
            <w:r w:rsidRPr="00CB7106">
              <w:rPr>
                <w:b/>
                <w:sz w:val="28"/>
              </w:rPr>
              <w:t>Cargo</w:t>
            </w:r>
          </w:p>
        </w:tc>
        <w:tc>
          <w:tcPr>
            <w:tcW w:w="2668" w:type="dxa"/>
          </w:tcPr>
          <w:p w:rsidR="00CB7106" w:rsidRPr="00CB7106" w:rsidRDefault="00CB7106">
            <w:pPr>
              <w:pStyle w:val="EstilodeTabela4"/>
              <w:jc w:val="center"/>
              <w:rPr>
                <w:b/>
                <w:sz w:val="28"/>
              </w:rPr>
            </w:pPr>
            <w:r w:rsidRPr="00CB7106">
              <w:rPr>
                <w:b/>
                <w:sz w:val="28"/>
              </w:rPr>
              <w:t>Instituição</w:t>
            </w:r>
          </w:p>
        </w:tc>
        <w:tc>
          <w:tcPr>
            <w:tcW w:w="2668" w:type="dxa"/>
            <w:shd w:val="clear" w:color="auto" w:fill="auto"/>
            <w:tcMar>
              <w:top w:w="80" w:type="dxa"/>
              <w:left w:w="80" w:type="dxa"/>
              <w:bottom w:w="80" w:type="dxa"/>
              <w:right w:w="80" w:type="dxa"/>
            </w:tcMar>
          </w:tcPr>
          <w:p w:rsidR="00CB7106" w:rsidRPr="00CB7106" w:rsidRDefault="00CB7106">
            <w:pPr>
              <w:pStyle w:val="EstilodeTabela4"/>
              <w:jc w:val="center"/>
              <w:rPr>
                <w:b/>
                <w:sz w:val="28"/>
              </w:rPr>
            </w:pPr>
            <w:r w:rsidRPr="00CB7106">
              <w:rPr>
                <w:b/>
                <w:sz w:val="28"/>
              </w:rPr>
              <w:t>Assinatura</w:t>
            </w:r>
          </w:p>
        </w:tc>
      </w:tr>
      <w:tr w:rsidR="00CB7106" w:rsidTr="00CB7106">
        <w:trPr>
          <w:trHeight w:val="280"/>
          <w:jc w:val="center"/>
        </w:trPr>
        <w:tc>
          <w:tcPr>
            <w:tcW w:w="3811" w:type="dxa"/>
            <w:shd w:val="clear" w:color="auto" w:fill="auto"/>
            <w:tcMar>
              <w:top w:w="80" w:type="dxa"/>
              <w:left w:w="80" w:type="dxa"/>
              <w:bottom w:w="80" w:type="dxa"/>
              <w:right w:w="80" w:type="dxa"/>
            </w:tcMar>
          </w:tcPr>
          <w:p w:rsidR="00CB7106" w:rsidRDefault="00CB7106"/>
        </w:tc>
        <w:tc>
          <w:tcPr>
            <w:tcW w:w="2501" w:type="dxa"/>
            <w:shd w:val="clear" w:color="auto" w:fill="auto"/>
            <w:tcMar>
              <w:top w:w="80" w:type="dxa"/>
              <w:left w:w="80" w:type="dxa"/>
              <w:bottom w:w="80" w:type="dxa"/>
              <w:right w:w="80" w:type="dxa"/>
            </w:tcMar>
          </w:tcPr>
          <w:p w:rsidR="00CB7106" w:rsidRDefault="00CB7106"/>
        </w:tc>
        <w:tc>
          <w:tcPr>
            <w:tcW w:w="2668" w:type="dxa"/>
          </w:tcPr>
          <w:p w:rsidR="00CB7106" w:rsidRDefault="00CB7106"/>
        </w:tc>
        <w:tc>
          <w:tcPr>
            <w:tcW w:w="2668" w:type="dxa"/>
          </w:tcPr>
          <w:p w:rsidR="00CB7106" w:rsidRDefault="00CB7106"/>
        </w:tc>
        <w:tc>
          <w:tcPr>
            <w:tcW w:w="2668" w:type="dxa"/>
            <w:shd w:val="clear" w:color="auto" w:fill="auto"/>
            <w:tcMar>
              <w:top w:w="80" w:type="dxa"/>
              <w:left w:w="80" w:type="dxa"/>
              <w:bottom w:w="80" w:type="dxa"/>
              <w:right w:w="80" w:type="dxa"/>
            </w:tcMar>
          </w:tcPr>
          <w:p w:rsidR="00CB7106" w:rsidRDefault="00CB7106"/>
        </w:tc>
      </w:tr>
      <w:tr w:rsidR="00CB7106" w:rsidTr="00CB7106">
        <w:trPr>
          <w:trHeight w:val="280"/>
          <w:jc w:val="center"/>
        </w:trPr>
        <w:tc>
          <w:tcPr>
            <w:tcW w:w="3811" w:type="dxa"/>
            <w:shd w:val="clear" w:color="auto" w:fill="auto"/>
            <w:tcMar>
              <w:top w:w="80" w:type="dxa"/>
              <w:left w:w="80" w:type="dxa"/>
              <w:bottom w:w="80" w:type="dxa"/>
              <w:right w:w="80" w:type="dxa"/>
            </w:tcMar>
          </w:tcPr>
          <w:p w:rsidR="00CB7106" w:rsidRDefault="00CB7106"/>
        </w:tc>
        <w:tc>
          <w:tcPr>
            <w:tcW w:w="2501" w:type="dxa"/>
            <w:shd w:val="clear" w:color="auto" w:fill="auto"/>
            <w:tcMar>
              <w:top w:w="80" w:type="dxa"/>
              <w:left w:w="80" w:type="dxa"/>
              <w:bottom w:w="80" w:type="dxa"/>
              <w:right w:w="80" w:type="dxa"/>
            </w:tcMar>
          </w:tcPr>
          <w:p w:rsidR="00CB7106" w:rsidRDefault="00CB7106"/>
        </w:tc>
        <w:tc>
          <w:tcPr>
            <w:tcW w:w="2668" w:type="dxa"/>
          </w:tcPr>
          <w:p w:rsidR="00CB7106" w:rsidRDefault="00CB7106"/>
        </w:tc>
        <w:tc>
          <w:tcPr>
            <w:tcW w:w="2668" w:type="dxa"/>
          </w:tcPr>
          <w:p w:rsidR="00CB7106" w:rsidRDefault="00CB7106"/>
        </w:tc>
        <w:tc>
          <w:tcPr>
            <w:tcW w:w="2668" w:type="dxa"/>
            <w:shd w:val="clear" w:color="auto" w:fill="auto"/>
            <w:tcMar>
              <w:top w:w="80" w:type="dxa"/>
              <w:left w:w="80" w:type="dxa"/>
              <w:bottom w:w="80" w:type="dxa"/>
              <w:right w:w="80" w:type="dxa"/>
            </w:tcMar>
          </w:tcPr>
          <w:p w:rsidR="00CB7106" w:rsidRDefault="00CB7106"/>
        </w:tc>
      </w:tr>
      <w:tr w:rsidR="00CB7106" w:rsidTr="00CB7106">
        <w:trPr>
          <w:trHeight w:val="280"/>
          <w:jc w:val="center"/>
        </w:trPr>
        <w:tc>
          <w:tcPr>
            <w:tcW w:w="3811" w:type="dxa"/>
            <w:shd w:val="clear" w:color="auto" w:fill="auto"/>
            <w:tcMar>
              <w:top w:w="80" w:type="dxa"/>
              <w:left w:w="80" w:type="dxa"/>
              <w:bottom w:w="80" w:type="dxa"/>
              <w:right w:w="80" w:type="dxa"/>
            </w:tcMar>
          </w:tcPr>
          <w:p w:rsidR="00CB7106" w:rsidRDefault="00CB7106"/>
        </w:tc>
        <w:tc>
          <w:tcPr>
            <w:tcW w:w="2501" w:type="dxa"/>
            <w:shd w:val="clear" w:color="auto" w:fill="auto"/>
            <w:tcMar>
              <w:top w:w="80" w:type="dxa"/>
              <w:left w:w="80" w:type="dxa"/>
              <w:bottom w:w="80" w:type="dxa"/>
              <w:right w:w="80" w:type="dxa"/>
            </w:tcMar>
          </w:tcPr>
          <w:p w:rsidR="00CB7106" w:rsidRDefault="00CB7106"/>
        </w:tc>
        <w:tc>
          <w:tcPr>
            <w:tcW w:w="2668" w:type="dxa"/>
          </w:tcPr>
          <w:p w:rsidR="00CB7106" w:rsidRDefault="00CB7106"/>
        </w:tc>
        <w:tc>
          <w:tcPr>
            <w:tcW w:w="2668" w:type="dxa"/>
          </w:tcPr>
          <w:p w:rsidR="00CB7106" w:rsidRDefault="00CB7106"/>
        </w:tc>
        <w:tc>
          <w:tcPr>
            <w:tcW w:w="2668" w:type="dxa"/>
            <w:shd w:val="clear" w:color="auto" w:fill="auto"/>
            <w:tcMar>
              <w:top w:w="80" w:type="dxa"/>
              <w:left w:w="80" w:type="dxa"/>
              <w:bottom w:w="80" w:type="dxa"/>
              <w:right w:w="80" w:type="dxa"/>
            </w:tcMar>
          </w:tcPr>
          <w:p w:rsidR="00CB7106" w:rsidRDefault="00CB7106"/>
        </w:tc>
      </w:tr>
      <w:tr w:rsidR="00CB7106" w:rsidTr="00CB7106">
        <w:trPr>
          <w:trHeight w:val="280"/>
          <w:jc w:val="center"/>
        </w:trPr>
        <w:tc>
          <w:tcPr>
            <w:tcW w:w="3811" w:type="dxa"/>
            <w:shd w:val="clear" w:color="auto" w:fill="auto"/>
            <w:tcMar>
              <w:top w:w="80" w:type="dxa"/>
              <w:left w:w="80" w:type="dxa"/>
              <w:bottom w:w="80" w:type="dxa"/>
              <w:right w:w="80" w:type="dxa"/>
            </w:tcMar>
          </w:tcPr>
          <w:p w:rsidR="00CB7106" w:rsidRDefault="00CB7106"/>
        </w:tc>
        <w:tc>
          <w:tcPr>
            <w:tcW w:w="2501" w:type="dxa"/>
            <w:shd w:val="clear" w:color="auto" w:fill="auto"/>
            <w:tcMar>
              <w:top w:w="80" w:type="dxa"/>
              <w:left w:w="80" w:type="dxa"/>
              <w:bottom w:w="80" w:type="dxa"/>
              <w:right w:w="80" w:type="dxa"/>
            </w:tcMar>
          </w:tcPr>
          <w:p w:rsidR="00CB7106" w:rsidRDefault="00CB7106"/>
        </w:tc>
        <w:tc>
          <w:tcPr>
            <w:tcW w:w="2668" w:type="dxa"/>
          </w:tcPr>
          <w:p w:rsidR="00CB7106" w:rsidRDefault="00CB7106"/>
        </w:tc>
        <w:tc>
          <w:tcPr>
            <w:tcW w:w="2668" w:type="dxa"/>
          </w:tcPr>
          <w:p w:rsidR="00CB7106" w:rsidRDefault="00CB7106"/>
        </w:tc>
        <w:tc>
          <w:tcPr>
            <w:tcW w:w="2668" w:type="dxa"/>
            <w:shd w:val="clear" w:color="auto" w:fill="auto"/>
            <w:tcMar>
              <w:top w:w="80" w:type="dxa"/>
              <w:left w:w="80" w:type="dxa"/>
              <w:bottom w:w="80" w:type="dxa"/>
              <w:right w:w="80" w:type="dxa"/>
            </w:tcMar>
          </w:tcPr>
          <w:p w:rsidR="00CB7106" w:rsidRDefault="00CB7106"/>
        </w:tc>
      </w:tr>
      <w:tr w:rsidR="00CB7106" w:rsidTr="00CB7106">
        <w:trPr>
          <w:trHeight w:val="280"/>
          <w:jc w:val="center"/>
        </w:trPr>
        <w:tc>
          <w:tcPr>
            <w:tcW w:w="3811" w:type="dxa"/>
            <w:shd w:val="clear" w:color="auto" w:fill="auto"/>
            <w:tcMar>
              <w:top w:w="80" w:type="dxa"/>
              <w:left w:w="80" w:type="dxa"/>
              <w:bottom w:w="80" w:type="dxa"/>
              <w:right w:w="80" w:type="dxa"/>
            </w:tcMar>
          </w:tcPr>
          <w:p w:rsidR="00CB7106" w:rsidRDefault="00CB7106"/>
        </w:tc>
        <w:tc>
          <w:tcPr>
            <w:tcW w:w="2501" w:type="dxa"/>
            <w:shd w:val="clear" w:color="auto" w:fill="auto"/>
            <w:tcMar>
              <w:top w:w="80" w:type="dxa"/>
              <w:left w:w="80" w:type="dxa"/>
              <w:bottom w:w="80" w:type="dxa"/>
              <w:right w:w="80" w:type="dxa"/>
            </w:tcMar>
          </w:tcPr>
          <w:p w:rsidR="00CB7106" w:rsidRDefault="00CB7106"/>
        </w:tc>
        <w:tc>
          <w:tcPr>
            <w:tcW w:w="2668" w:type="dxa"/>
          </w:tcPr>
          <w:p w:rsidR="00CB7106" w:rsidRDefault="00CB7106"/>
        </w:tc>
        <w:tc>
          <w:tcPr>
            <w:tcW w:w="2668" w:type="dxa"/>
          </w:tcPr>
          <w:p w:rsidR="00CB7106" w:rsidRDefault="00CB7106"/>
        </w:tc>
        <w:tc>
          <w:tcPr>
            <w:tcW w:w="2668" w:type="dxa"/>
            <w:shd w:val="clear" w:color="auto" w:fill="auto"/>
            <w:tcMar>
              <w:top w:w="80" w:type="dxa"/>
              <w:left w:w="80" w:type="dxa"/>
              <w:bottom w:w="80" w:type="dxa"/>
              <w:right w:w="80" w:type="dxa"/>
            </w:tcMar>
          </w:tcPr>
          <w:p w:rsidR="00CB7106" w:rsidRDefault="00CB7106"/>
        </w:tc>
      </w:tr>
      <w:tr w:rsidR="00CB7106" w:rsidTr="00CB7106">
        <w:trPr>
          <w:trHeight w:val="280"/>
          <w:jc w:val="center"/>
        </w:trPr>
        <w:tc>
          <w:tcPr>
            <w:tcW w:w="3811" w:type="dxa"/>
            <w:shd w:val="clear" w:color="auto" w:fill="auto"/>
            <w:tcMar>
              <w:top w:w="80" w:type="dxa"/>
              <w:left w:w="80" w:type="dxa"/>
              <w:bottom w:w="80" w:type="dxa"/>
              <w:right w:w="80" w:type="dxa"/>
            </w:tcMar>
          </w:tcPr>
          <w:p w:rsidR="00CB7106" w:rsidRDefault="00CB7106"/>
        </w:tc>
        <w:tc>
          <w:tcPr>
            <w:tcW w:w="2501" w:type="dxa"/>
            <w:shd w:val="clear" w:color="auto" w:fill="auto"/>
            <w:tcMar>
              <w:top w:w="80" w:type="dxa"/>
              <w:left w:w="80" w:type="dxa"/>
              <w:bottom w:w="80" w:type="dxa"/>
              <w:right w:w="80" w:type="dxa"/>
            </w:tcMar>
          </w:tcPr>
          <w:p w:rsidR="00CB7106" w:rsidRDefault="00CB7106"/>
        </w:tc>
        <w:tc>
          <w:tcPr>
            <w:tcW w:w="2668" w:type="dxa"/>
          </w:tcPr>
          <w:p w:rsidR="00CB7106" w:rsidRDefault="00CB7106"/>
        </w:tc>
        <w:tc>
          <w:tcPr>
            <w:tcW w:w="2668" w:type="dxa"/>
          </w:tcPr>
          <w:p w:rsidR="00CB7106" w:rsidRDefault="00CB7106"/>
        </w:tc>
        <w:tc>
          <w:tcPr>
            <w:tcW w:w="2668" w:type="dxa"/>
            <w:shd w:val="clear" w:color="auto" w:fill="auto"/>
            <w:tcMar>
              <w:top w:w="80" w:type="dxa"/>
              <w:left w:w="80" w:type="dxa"/>
              <w:bottom w:w="80" w:type="dxa"/>
              <w:right w:w="80" w:type="dxa"/>
            </w:tcMar>
          </w:tcPr>
          <w:p w:rsidR="00CB7106" w:rsidRDefault="00CB7106"/>
        </w:tc>
      </w:tr>
      <w:tr w:rsidR="00CB7106" w:rsidTr="00CB7106">
        <w:trPr>
          <w:trHeight w:val="280"/>
          <w:jc w:val="center"/>
        </w:trPr>
        <w:tc>
          <w:tcPr>
            <w:tcW w:w="3811" w:type="dxa"/>
            <w:shd w:val="clear" w:color="auto" w:fill="auto"/>
            <w:tcMar>
              <w:top w:w="80" w:type="dxa"/>
              <w:left w:w="80" w:type="dxa"/>
              <w:bottom w:w="80" w:type="dxa"/>
              <w:right w:w="80" w:type="dxa"/>
            </w:tcMar>
          </w:tcPr>
          <w:p w:rsidR="00CB7106" w:rsidRDefault="00CB7106"/>
        </w:tc>
        <w:tc>
          <w:tcPr>
            <w:tcW w:w="2501" w:type="dxa"/>
            <w:shd w:val="clear" w:color="auto" w:fill="auto"/>
            <w:tcMar>
              <w:top w:w="80" w:type="dxa"/>
              <w:left w:w="80" w:type="dxa"/>
              <w:bottom w:w="80" w:type="dxa"/>
              <w:right w:w="80" w:type="dxa"/>
            </w:tcMar>
          </w:tcPr>
          <w:p w:rsidR="00CB7106" w:rsidRDefault="00CB7106"/>
        </w:tc>
        <w:tc>
          <w:tcPr>
            <w:tcW w:w="2668" w:type="dxa"/>
          </w:tcPr>
          <w:p w:rsidR="00CB7106" w:rsidRDefault="00CB7106"/>
        </w:tc>
        <w:tc>
          <w:tcPr>
            <w:tcW w:w="2668" w:type="dxa"/>
          </w:tcPr>
          <w:p w:rsidR="00CB7106" w:rsidRDefault="00CB7106"/>
        </w:tc>
        <w:tc>
          <w:tcPr>
            <w:tcW w:w="2668" w:type="dxa"/>
            <w:shd w:val="clear" w:color="auto" w:fill="auto"/>
            <w:tcMar>
              <w:top w:w="80" w:type="dxa"/>
              <w:left w:w="80" w:type="dxa"/>
              <w:bottom w:w="80" w:type="dxa"/>
              <w:right w:w="80" w:type="dxa"/>
            </w:tcMar>
          </w:tcPr>
          <w:p w:rsidR="00CB7106" w:rsidRDefault="00CB7106"/>
        </w:tc>
      </w:tr>
      <w:tr w:rsidR="00CB7106" w:rsidTr="00CB7106">
        <w:trPr>
          <w:trHeight w:val="280"/>
          <w:jc w:val="center"/>
        </w:trPr>
        <w:tc>
          <w:tcPr>
            <w:tcW w:w="3811" w:type="dxa"/>
            <w:shd w:val="clear" w:color="auto" w:fill="auto"/>
            <w:tcMar>
              <w:top w:w="80" w:type="dxa"/>
              <w:left w:w="80" w:type="dxa"/>
              <w:bottom w:w="80" w:type="dxa"/>
              <w:right w:w="80" w:type="dxa"/>
            </w:tcMar>
          </w:tcPr>
          <w:p w:rsidR="00CB7106" w:rsidRDefault="00CB7106"/>
        </w:tc>
        <w:tc>
          <w:tcPr>
            <w:tcW w:w="2501" w:type="dxa"/>
            <w:shd w:val="clear" w:color="auto" w:fill="auto"/>
            <w:tcMar>
              <w:top w:w="80" w:type="dxa"/>
              <w:left w:w="80" w:type="dxa"/>
              <w:bottom w:w="80" w:type="dxa"/>
              <w:right w:w="80" w:type="dxa"/>
            </w:tcMar>
          </w:tcPr>
          <w:p w:rsidR="00CB7106" w:rsidRDefault="00CB7106"/>
        </w:tc>
        <w:tc>
          <w:tcPr>
            <w:tcW w:w="2668" w:type="dxa"/>
          </w:tcPr>
          <w:p w:rsidR="00CB7106" w:rsidRDefault="00CB7106"/>
        </w:tc>
        <w:tc>
          <w:tcPr>
            <w:tcW w:w="2668" w:type="dxa"/>
          </w:tcPr>
          <w:p w:rsidR="00CB7106" w:rsidRDefault="00CB7106"/>
        </w:tc>
        <w:tc>
          <w:tcPr>
            <w:tcW w:w="2668" w:type="dxa"/>
            <w:shd w:val="clear" w:color="auto" w:fill="auto"/>
            <w:tcMar>
              <w:top w:w="80" w:type="dxa"/>
              <w:left w:w="80" w:type="dxa"/>
              <w:bottom w:w="80" w:type="dxa"/>
              <w:right w:w="80" w:type="dxa"/>
            </w:tcMar>
          </w:tcPr>
          <w:p w:rsidR="00CB7106" w:rsidRDefault="00CB7106"/>
        </w:tc>
      </w:tr>
      <w:tr w:rsidR="00CB7106" w:rsidTr="00CB7106">
        <w:trPr>
          <w:trHeight w:val="280"/>
          <w:jc w:val="center"/>
        </w:trPr>
        <w:tc>
          <w:tcPr>
            <w:tcW w:w="3811" w:type="dxa"/>
            <w:shd w:val="clear" w:color="auto" w:fill="auto"/>
            <w:tcMar>
              <w:top w:w="80" w:type="dxa"/>
              <w:left w:w="80" w:type="dxa"/>
              <w:bottom w:w="80" w:type="dxa"/>
              <w:right w:w="80" w:type="dxa"/>
            </w:tcMar>
          </w:tcPr>
          <w:p w:rsidR="00CB7106" w:rsidRDefault="00CB7106"/>
        </w:tc>
        <w:tc>
          <w:tcPr>
            <w:tcW w:w="2501" w:type="dxa"/>
            <w:shd w:val="clear" w:color="auto" w:fill="auto"/>
            <w:tcMar>
              <w:top w:w="80" w:type="dxa"/>
              <w:left w:w="80" w:type="dxa"/>
              <w:bottom w:w="80" w:type="dxa"/>
              <w:right w:w="80" w:type="dxa"/>
            </w:tcMar>
          </w:tcPr>
          <w:p w:rsidR="00CB7106" w:rsidRDefault="00CB7106"/>
        </w:tc>
        <w:tc>
          <w:tcPr>
            <w:tcW w:w="2668" w:type="dxa"/>
          </w:tcPr>
          <w:p w:rsidR="00CB7106" w:rsidRDefault="00CB7106"/>
        </w:tc>
        <w:tc>
          <w:tcPr>
            <w:tcW w:w="2668" w:type="dxa"/>
          </w:tcPr>
          <w:p w:rsidR="00CB7106" w:rsidRDefault="00CB7106"/>
        </w:tc>
        <w:tc>
          <w:tcPr>
            <w:tcW w:w="2668" w:type="dxa"/>
            <w:shd w:val="clear" w:color="auto" w:fill="auto"/>
            <w:tcMar>
              <w:top w:w="80" w:type="dxa"/>
              <w:left w:w="80" w:type="dxa"/>
              <w:bottom w:w="80" w:type="dxa"/>
              <w:right w:w="80" w:type="dxa"/>
            </w:tcMar>
          </w:tcPr>
          <w:p w:rsidR="00CB7106" w:rsidRDefault="00CB7106"/>
        </w:tc>
      </w:tr>
      <w:tr w:rsidR="00CB7106" w:rsidTr="00CB7106">
        <w:trPr>
          <w:trHeight w:val="280"/>
          <w:jc w:val="center"/>
        </w:trPr>
        <w:tc>
          <w:tcPr>
            <w:tcW w:w="3811" w:type="dxa"/>
            <w:shd w:val="clear" w:color="auto" w:fill="auto"/>
            <w:tcMar>
              <w:top w:w="80" w:type="dxa"/>
              <w:left w:w="80" w:type="dxa"/>
              <w:bottom w:w="80" w:type="dxa"/>
              <w:right w:w="80" w:type="dxa"/>
            </w:tcMar>
          </w:tcPr>
          <w:p w:rsidR="00CB7106" w:rsidRDefault="00CB7106"/>
        </w:tc>
        <w:tc>
          <w:tcPr>
            <w:tcW w:w="2501" w:type="dxa"/>
            <w:shd w:val="clear" w:color="auto" w:fill="auto"/>
            <w:tcMar>
              <w:top w:w="80" w:type="dxa"/>
              <w:left w:w="80" w:type="dxa"/>
              <w:bottom w:w="80" w:type="dxa"/>
              <w:right w:w="80" w:type="dxa"/>
            </w:tcMar>
          </w:tcPr>
          <w:p w:rsidR="00CB7106" w:rsidRDefault="00CB7106"/>
        </w:tc>
        <w:tc>
          <w:tcPr>
            <w:tcW w:w="2668" w:type="dxa"/>
          </w:tcPr>
          <w:p w:rsidR="00CB7106" w:rsidRDefault="00CB7106"/>
        </w:tc>
        <w:tc>
          <w:tcPr>
            <w:tcW w:w="2668" w:type="dxa"/>
          </w:tcPr>
          <w:p w:rsidR="00CB7106" w:rsidRDefault="00CB7106"/>
        </w:tc>
        <w:tc>
          <w:tcPr>
            <w:tcW w:w="2668" w:type="dxa"/>
            <w:shd w:val="clear" w:color="auto" w:fill="auto"/>
            <w:tcMar>
              <w:top w:w="80" w:type="dxa"/>
              <w:left w:w="80" w:type="dxa"/>
              <w:bottom w:w="80" w:type="dxa"/>
              <w:right w:w="80" w:type="dxa"/>
            </w:tcMar>
          </w:tcPr>
          <w:p w:rsidR="00CB7106" w:rsidRDefault="00CB7106"/>
        </w:tc>
      </w:tr>
      <w:tr w:rsidR="00CB7106" w:rsidTr="00CB7106">
        <w:trPr>
          <w:trHeight w:val="280"/>
          <w:jc w:val="center"/>
        </w:trPr>
        <w:tc>
          <w:tcPr>
            <w:tcW w:w="3811" w:type="dxa"/>
            <w:shd w:val="clear" w:color="auto" w:fill="auto"/>
            <w:tcMar>
              <w:top w:w="80" w:type="dxa"/>
              <w:left w:w="80" w:type="dxa"/>
              <w:bottom w:w="80" w:type="dxa"/>
              <w:right w:w="80" w:type="dxa"/>
            </w:tcMar>
          </w:tcPr>
          <w:p w:rsidR="00CB7106" w:rsidRDefault="00CB7106"/>
        </w:tc>
        <w:tc>
          <w:tcPr>
            <w:tcW w:w="2501" w:type="dxa"/>
            <w:shd w:val="clear" w:color="auto" w:fill="auto"/>
            <w:tcMar>
              <w:top w:w="80" w:type="dxa"/>
              <w:left w:w="80" w:type="dxa"/>
              <w:bottom w:w="80" w:type="dxa"/>
              <w:right w:w="80" w:type="dxa"/>
            </w:tcMar>
          </w:tcPr>
          <w:p w:rsidR="00CB7106" w:rsidRDefault="00CB7106"/>
        </w:tc>
        <w:tc>
          <w:tcPr>
            <w:tcW w:w="2668" w:type="dxa"/>
          </w:tcPr>
          <w:p w:rsidR="00CB7106" w:rsidRDefault="00CB7106"/>
        </w:tc>
        <w:tc>
          <w:tcPr>
            <w:tcW w:w="2668" w:type="dxa"/>
          </w:tcPr>
          <w:p w:rsidR="00CB7106" w:rsidRDefault="00CB7106"/>
        </w:tc>
        <w:tc>
          <w:tcPr>
            <w:tcW w:w="2668" w:type="dxa"/>
            <w:shd w:val="clear" w:color="auto" w:fill="auto"/>
            <w:tcMar>
              <w:top w:w="80" w:type="dxa"/>
              <w:left w:w="80" w:type="dxa"/>
              <w:bottom w:w="80" w:type="dxa"/>
              <w:right w:w="80" w:type="dxa"/>
            </w:tcMar>
          </w:tcPr>
          <w:p w:rsidR="00CB7106" w:rsidRDefault="00CB7106"/>
        </w:tc>
      </w:tr>
      <w:tr w:rsidR="00BD68E6" w:rsidTr="00CB7106">
        <w:trPr>
          <w:trHeight w:val="280"/>
          <w:jc w:val="center"/>
        </w:trPr>
        <w:tc>
          <w:tcPr>
            <w:tcW w:w="3811" w:type="dxa"/>
            <w:shd w:val="clear" w:color="auto" w:fill="auto"/>
            <w:tcMar>
              <w:top w:w="80" w:type="dxa"/>
              <w:left w:w="80" w:type="dxa"/>
              <w:bottom w:w="80" w:type="dxa"/>
              <w:right w:w="80" w:type="dxa"/>
            </w:tcMar>
          </w:tcPr>
          <w:p w:rsidR="00BD68E6" w:rsidRDefault="00BD68E6"/>
        </w:tc>
        <w:tc>
          <w:tcPr>
            <w:tcW w:w="2501" w:type="dxa"/>
            <w:shd w:val="clear" w:color="auto" w:fill="auto"/>
            <w:tcMar>
              <w:top w:w="80" w:type="dxa"/>
              <w:left w:w="80" w:type="dxa"/>
              <w:bottom w:w="80" w:type="dxa"/>
              <w:right w:w="80" w:type="dxa"/>
            </w:tcMar>
          </w:tcPr>
          <w:p w:rsidR="00BD68E6" w:rsidRDefault="00BD68E6"/>
        </w:tc>
        <w:tc>
          <w:tcPr>
            <w:tcW w:w="2668" w:type="dxa"/>
          </w:tcPr>
          <w:p w:rsidR="00BD68E6" w:rsidRDefault="00BD68E6"/>
        </w:tc>
        <w:tc>
          <w:tcPr>
            <w:tcW w:w="2668" w:type="dxa"/>
          </w:tcPr>
          <w:p w:rsidR="00BD68E6" w:rsidRDefault="00BD68E6"/>
        </w:tc>
        <w:tc>
          <w:tcPr>
            <w:tcW w:w="2668" w:type="dxa"/>
            <w:shd w:val="clear" w:color="auto" w:fill="auto"/>
            <w:tcMar>
              <w:top w:w="80" w:type="dxa"/>
              <w:left w:w="80" w:type="dxa"/>
              <w:bottom w:w="80" w:type="dxa"/>
              <w:right w:w="80" w:type="dxa"/>
            </w:tcMar>
          </w:tcPr>
          <w:p w:rsidR="00BD68E6" w:rsidRDefault="00BD68E6"/>
        </w:tc>
      </w:tr>
    </w:tbl>
    <w:p w:rsidR="006302A3" w:rsidRDefault="006302A3" w:rsidP="004F6828">
      <w:pPr>
        <w:pStyle w:val="Corpo"/>
        <w:ind w:firstLine="0"/>
      </w:pPr>
    </w:p>
    <w:sectPr w:rsidR="006302A3" w:rsidSect="004F6828">
      <w:pgSz w:w="16840" w:h="11900" w:orient="landscape"/>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770" w:rsidRDefault="00EF7770">
      <w:r>
        <w:separator/>
      </w:r>
    </w:p>
  </w:endnote>
  <w:endnote w:type="continuationSeparator" w:id="0">
    <w:p w:rsidR="00EF7770" w:rsidRDefault="00EF7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skerville">
    <w:altName w:val="Times New Roman"/>
    <w:charset w:val="00"/>
    <w:family w:val="roman"/>
    <w:pitch w:val="default"/>
  </w:font>
  <w:font w:name="Baskerville SemiBold">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2A3" w:rsidRDefault="006302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770" w:rsidRDefault="00EF7770">
      <w:r>
        <w:separator/>
      </w:r>
    </w:p>
  </w:footnote>
  <w:footnote w:type="continuationSeparator" w:id="0">
    <w:p w:rsidR="00EF7770" w:rsidRDefault="00EF77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2A3" w:rsidRDefault="006302A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302A3"/>
    <w:rsid w:val="000663D8"/>
    <w:rsid w:val="00222DC8"/>
    <w:rsid w:val="004A52D4"/>
    <w:rsid w:val="004F6828"/>
    <w:rsid w:val="0061731F"/>
    <w:rsid w:val="006302A3"/>
    <w:rsid w:val="0073355F"/>
    <w:rsid w:val="007B4553"/>
    <w:rsid w:val="00961612"/>
    <w:rsid w:val="00BD68E6"/>
    <w:rsid w:val="00CB7106"/>
    <w:rsid w:val="00EF777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Ttulo">
    <w:name w:val="Title"/>
    <w:next w:val="Corpo2"/>
    <w:pPr>
      <w:spacing w:line="312" w:lineRule="auto"/>
      <w:outlineLvl w:val="0"/>
    </w:pPr>
    <w:rPr>
      <w:rFonts w:ascii="Baskerville" w:hAnsi="Baskerville" w:cs="Arial Unicode MS"/>
      <w:color w:val="000000"/>
      <w:sz w:val="26"/>
      <w:szCs w:val="26"/>
      <w:lang w:val="en-US"/>
    </w:rPr>
  </w:style>
  <w:style w:type="paragraph" w:customStyle="1" w:styleId="Corpo2">
    <w:name w:val="Corpo 2"/>
    <w:pPr>
      <w:spacing w:after="80" w:line="288" w:lineRule="auto"/>
    </w:pPr>
    <w:rPr>
      <w:rFonts w:ascii="Baskerville" w:hAnsi="Baskerville" w:cs="Arial Unicode MS"/>
      <w:color w:val="434343"/>
      <w:sz w:val="24"/>
      <w:szCs w:val="24"/>
      <w:lang w:val="en-US"/>
    </w:rPr>
  </w:style>
  <w:style w:type="paragraph" w:styleId="Subttulo">
    <w:name w:val="Subtitle"/>
    <w:next w:val="Corpo2"/>
    <w:pPr>
      <w:jc w:val="center"/>
    </w:pPr>
    <w:rPr>
      <w:rFonts w:ascii="Baskerville" w:hAnsi="Baskerville" w:cs="Arial Unicode MS"/>
      <w:color w:val="DC5921"/>
      <w:spacing w:val="6"/>
      <w:sz w:val="64"/>
      <w:szCs w:val="64"/>
      <w:lang w:val="en-US"/>
    </w:rPr>
  </w:style>
  <w:style w:type="paragraph" w:customStyle="1" w:styleId="Corpo">
    <w:name w:val="Corpo"/>
    <w:pPr>
      <w:spacing w:line="360" w:lineRule="auto"/>
      <w:ind w:firstLine="540"/>
    </w:pPr>
    <w:rPr>
      <w:rFonts w:ascii="Baskerville" w:eastAsia="Baskerville" w:hAnsi="Baskerville" w:cs="Baskerville"/>
      <w:color w:val="000000"/>
      <w:sz w:val="24"/>
      <w:szCs w:val="24"/>
    </w:rPr>
  </w:style>
  <w:style w:type="paragraph" w:customStyle="1" w:styleId="EstilodeTabela4">
    <w:name w:val="Estilo de Tabela 4"/>
    <w:rPr>
      <w:rFonts w:ascii="Baskerville SemiBold" w:eastAsia="Baskerville SemiBold" w:hAnsi="Baskerville SemiBold" w:cs="Baskerville SemiBold"/>
      <w:color w:val="43434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pt-BR" w:eastAsia="pt-B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Ttulo">
    <w:name w:val="Title"/>
    <w:next w:val="Corpo2"/>
    <w:pPr>
      <w:spacing w:line="312" w:lineRule="auto"/>
      <w:outlineLvl w:val="0"/>
    </w:pPr>
    <w:rPr>
      <w:rFonts w:ascii="Baskerville" w:hAnsi="Baskerville" w:cs="Arial Unicode MS"/>
      <w:color w:val="000000"/>
      <w:sz w:val="26"/>
      <w:szCs w:val="26"/>
      <w:lang w:val="en-US"/>
    </w:rPr>
  </w:style>
  <w:style w:type="paragraph" w:customStyle="1" w:styleId="Corpo2">
    <w:name w:val="Corpo 2"/>
    <w:pPr>
      <w:spacing w:after="80" w:line="288" w:lineRule="auto"/>
    </w:pPr>
    <w:rPr>
      <w:rFonts w:ascii="Baskerville" w:hAnsi="Baskerville" w:cs="Arial Unicode MS"/>
      <w:color w:val="434343"/>
      <w:sz w:val="24"/>
      <w:szCs w:val="24"/>
      <w:lang w:val="en-US"/>
    </w:rPr>
  </w:style>
  <w:style w:type="paragraph" w:styleId="Subttulo">
    <w:name w:val="Subtitle"/>
    <w:next w:val="Corpo2"/>
    <w:pPr>
      <w:jc w:val="center"/>
    </w:pPr>
    <w:rPr>
      <w:rFonts w:ascii="Baskerville" w:hAnsi="Baskerville" w:cs="Arial Unicode MS"/>
      <w:color w:val="DC5921"/>
      <w:spacing w:val="6"/>
      <w:sz w:val="64"/>
      <w:szCs w:val="64"/>
      <w:lang w:val="en-US"/>
    </w:rPr>
  </w:style>
  <w:style w:type="paragraph" w:customStyle="1" w:styleId="Corpo">
    <w:name w:val="Corpo"/>
    <w:pPr>
      <w:spacing w:line="360" w:lineRule="auto"/>
      <w:ind w:firstLine="540"/>
    </w:pPr>
    <w:rPr>
      <w:rFonts w:ascii="Baskerville" w:eastAsia="Baskerville" w:hAnsi="Baskerville" w:cs="Baskerville"/>
      <w:color w:val="000000"/>
      <w:sz w:val="24"/>
      <w:szCs w:val="24"/>
    </w:rPr>
  </w:style>
  <w:style w:type="paragraph" w:customStyle="1" w:styleId="EstilodeTabela4">
    <w:name w:val="Estilo de Tabela 4"/>
    <w:rPr>
      <w:rFonts w:ascii="Baskerville SemiBold" w:eastAsia="Baskerville SemiBold" w:hAnsi="Baskerville SemiBold" w:cs="Baskerville SemiBold"/>
      <w:color w:val="43434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04_Essay">
  <a:themeElements>
    <a:clrScheme name="04_Essay">
      <a:dk1>
        <a:srgbClr val="000000"/>
      </a:dk1>
      <a:lt1>
        <a:srgbClr val="FFFFFF"/>
      </a:lt1>
      <a:dk2>
        <a:srgbClr val="444444"/>
      </a:dk2>
      <a:lt2>
        <a:srgbClr val="AAAAAA"/>
      </a:lt2>
      <a:accent1>
        <a:srgbClr val="A6BACF"/>
      </a:accent1>
      <a:accent2>
        <a:srgbClr val="98A68D"/>
      </a:accent2>
      <a:accent3>
        <a:srgbClr val="E2C07E"/>
      </a:accent3>
      <a:accent4>
        <a:srgbClr val="EA8B60"/>
      </a:accent4>
      <a:accent5>
        <a:srgbClr val="B93E40"/>
      </a:accent5>
      <a:accent6>
        <a:srgbClr val="807898"/>
      </a:accent6>
      <a:hlink>
        <a:srgbClr val="0000FF"/>
      </a:hlink>
      <a:folHlink>
        <a:srgbClr val="FF00FF"/>
      </a:folHlink>
    </a:clrScheme>
    <a:fontScheme name="04_Essay">
      <a:majorFont>
        <a:latin typeface="Baskerville"/>
        <a:ea typeface="Baskerville"/>
        <a:cs typeface="Baskerville"/>
      </a:majorFont>
      <a:minorFont>
        <a:latin typeface="Baskerville SemiBold"/>
        <a:ea typeface="Baskerville SemiBold"/>
        <a:cs typeface="Baskerville SemiBold"/>
      </a:minorFont>
    </a:fontScheme>
    <a:fmtScheme name="04_Essay">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hueOff val="304431"/>
            <a:satOff val="14136"/>
            <a:lumOff val="-27777"/>
          </a:schemeClr>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FFFFFF"/>
            </a:solidFill>
            <a:effectLst/>
            <a:uFillTx/>
            <a:latin typeface="+mj-lt"/>
            <a:ea typeface="+mj-ea"/>
            <a:cs typeface="+mj-cs"/>
            <a:sym typeface="Baskervill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AAAAAA"/>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20000"/>
          </a:lnSpc>
          <a:spcBef>
            <a:spcPts val="400"/>
          </a:spcBef>
          <a:spcAft>
            <a:spcPts val="0"/>
          </a:spcAft>
          <a:buClrTx/>
          <a:buSzTx/>
          <a:buFontTx/>
          <a:buNone/>
          <a:tabLst/>
          <a:defRPr kumimoji="0" sz="1200" b="0" i="0" u="none" strike="noStrike" cap="none" spc="0" normalizeH="0" baseline="0">
            <a:ln>
              <a:noFill/>
            </a:ln>
            <a:solidFill>
              <a:srgbClr val="444444"/>
            </a:solidFill>
            <a:effectLst/>
            <a:uFillTx/>
            <a:latin typeface="+mj-lt"/>
            <a:ea typeface="+mj-ea"/>
            <a:cs typeface="+mj-cs"/>
            <a:sym typeface="Baskervill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826</Words>
  <Characters>4463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ACASPJ</dc:creator>
  <cp:lastModifiedBy>usuario</cp:lastModifiedBy>
  <cp:revision>2</cp:revision>
  <dcterms:created xsi:type="dcterms:W3CDTF">2017-09-21T18:07:00Z</dcterms:created>
  <dcterms:modified xsi:type="dcterms:W3CDTF">2017-09-21T18:07:00Z</dcterms:modified>
</cp:coreProperties>
</file>